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oleObject"/>
  <Default Extension="rels" ContentType="application/vnd.openxmlformats-package.relationships+xml"/>
  <Default Extension="wmf" ContentType="image/x-wm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603" w:rsidRDefault="00681603" w:rsidP="00681603">
      <w:pPr>
        <w:pStyle w:val="Heading3"/>
      </w:pPr>
      <w:proofErr w:type="gramStart"/>
      <w:r>
        <w:t>p</w:t>
      </w:r>
      <w:proofErr w:type="gramEnd"/>
      <w:r>
        <w:t>.450</w:t>
      </w:r>
    </w:p>
    <w:p w:rsidR="00681603" w:rsidRPr="00681603" w:rsidRDefault="00681603" w:rsidP="00681603">
      <w:pPr>
        <w:rPr>
          <w:b/>
        </w:rPr>
      </w:pPr>
      <w:r w:rsidRPr="00681603">
        <w:rPr>
          <w:b/>
        </w:rPr>
        <w:t>More on NNT</w:t>
      </w:r>
    </w:p>
    <w:p w:rsidR="00681603" w:rsidRDefault="00681603" w:rsidP="00681603">
      <w:r>
        <w:t xml:space="preserve">Even more caution is required when a regimen is to be used for mass adoption on the basis of NNT. Heller (RF, Development of modern epidemiology: clinical epidemiology </w:t>
      </w:r>
      <w:r w:rsidRPr="00E3431B">
        <w:rPr>
          <w:i/>
        </w:rPr>
        <w:t>in</w:t>
      </w:r>
      <w:r>
        <w:t xml:space="preserve"> The Development of Modern Epidemiology: Personal Reports from those who were there. </w:t>
      </w:r>
      <w:proofErr w:type="spellStart"/>
      <w:r>
        <w:t>Eds</w:t>
      </w:r>
      <w:proofErr w:type="spellEnd"/>
      <w:r>
        <w:t xml:space="preserve"> Holland WW, Olsen J, du V Florey C, Oxford University Press, 2007:269) gives example of thrombolysis with NNT = 7 for prevention of one adverse outcome in secondary prevention after </w:t>
      </w:r>
      <w:proofErr w:type="spellStart"/>
      <w:r>
        <w:t>nonhemarrohagic</w:t>
      </w:r>
      <w:proofErr w:type="spellEnd"/>
      <w:r>
        <w:t xml:space="preserve"> stroke, and aspirin with NNT = 33. But only 4% of the stroke patients are eligible for thrombolysis due to time window and other factors whereas 70% are eligible for aspirin. You can see that the total benefit of a policy of using aspirin is nearly six times of that of using thrombolysis.</w:t>
      </w:r>
    </w:p>
    <w:p w:rsidR="00681603" w:rsidRDefault="00681603" w:rsidP="00681603">
      <w:pPr>
        <w:ind w:firstLine="720"/>
      </w:pPr>
      <w:r>
        <w:t>Distri</w:t>
      </w:r>
      <w:r>
        <w:t xml:space="preserve">butional properties of NNT are not fully </w:t>
      </w:r>
      <w:bookmarkStart w:id="0" w:name="_GoBack"/>
      <w:bookmarkEnd w:id="0"/>
      <w:r>
        <w:t>known and a makeshift procedure is adopted to get CI. This is easily implemented when the difference in efficacy of two treatments under comparison is statistically significant. In this case, calculate CI for ARR using the method given in Section 14.1.3 for AR. Call this (ARR</w:t>
      </w:r>
      <w:r w:rsidRPr="00A62FC2">
        <w:rPr>
          <w:vertAlign w:val="subscript"/>
        </w:rPr>
        <w:t>L</w:t>
      </w:r>
      <w:r>
        <w:t xml:space="preserve"> to ARR</w:t>
      </w:r>
      <w:r w:rsidRPr="00A62FC2">
        <w:rPr>
          <w:vertAlign w:val="subscript"/>
        </w:rPr>
        <w:t>U</w:t>
      </w:r>
      <w:r>
        <w:t>). Then CI for NNT is (</w:t>
      </w:r>
      <w:r w:rsidRPr="002334DF">
        <w:rPr>
          <w:position w:val="-26"/>
        </w:rPr>
        <w:object w:dxaOrig="639" w:dyaOrig="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pt;height:30pt" o:ole="">
            <v:imagedata r:id="rId5" o:title=""/>
          </v:shape>
          <o:OLEObject Type="Embed" ProgID="Equation.3" ShapeID="_x0000_i1025" DrawAspect="Content" ObjectID="_1235201781" r:id="rId6"/>
        </w:object>
      </w:r>
      <w:r>
        <w:t>to</w:t>
      </w:r>
      <w:r w:rsidRPr="002334DF">
        <w:rPr>
          <w:position w:val="-26"/>
        </w:rPr>
        <w:object w:dxaOrig="620" w:dyaOrig="600">
          <v:shape id="_x0000_i1026" type="#_x0000_t75" style="width:31pt;height:30pt" o:ole="">
            <v:imagedata r:id="rId7" o:title=""/>
          </v:shape>
          <o:OLEObject Type="Embed" ProgID="Equation.3" ShapeID="_x0000_i1026" DrawAspect="Content" ObjectID="_1235201782" r:id="rId8"/>
        </w:object>
      </w:r>
      <w:r>
        <w:t xml:space="preserve">). Note that L and U have switched their position. If the CI for ARR is from 0.04 to 0.15, the CI for ARR is from </w:t>
      </w:r>
      <w:r w:rsidRPr="002334DF">
        <w:rPr>
          <w:position w:val="-22"/>
        </w:rPr>
        <w:object w:dxaOrig="460" w:dyaOrig="560">
          <v:shape id="_x0000_i1027" type="#_x0000_t75" style="width:23pt;height:28pt" o:ole="">
            <v:imagedata r:id="rId9" o:title=""/>
          </v:shape>
          <o:OLEObject Type="Embed" ProgID="Equation.3" ShapeID="_x0000_i1027" DrawAspect="Content" ObjectID="_1235201783" r:id="rId10"/>
        </w:object>
      </w:r>
      <w:r>
        <w:t xml:space="preserve"> = 6.67 to </w:t>
      </w:r>
      <w:r w:rsidRPr="002334DF">
        <w:rPr>
          <w:position w:val="-22"/>
        </w:rPr>
        <w:object w:dxaOrig="460" w:dyaOrig="560">
          <v:shape id="_x0000_i1028" type="#_x0000_t75" style="width:23pt;height:28pt" o:ole="">
            <v:imagedata r:id="rId11" o:title=""/>
          </v:shape>
          <o:OLEObject Type="Embed" ProgID="Equation.3" ShapeID="_x0000_i1028" DrawAspect="Content" ObjectID="_1235201784" r:id="rId12"/>
        </w:object>
      </w:r>
      <w:r>
        <w:t xml:space="preserve"> = 25. For not significant ARR, consider the following.</w:t>
      </w:r>
    </w:p>
    <w:p w:rsidR="00681603" w:rsidRDefault="00681603" w:rsidP="00681603">
      <w:pPr>
        <w:ind w:firstLine="720"/>
      </w:pPr>
      <w:r>
        <w:t xml:space="preserve">Generally ARR would be small in a trial. If efficacy of a drug A is 70% and of drug B is 75%, </w:t>
      </w:r>
      <w:r w:rsidRPr="002334DF">
        <w:rPr>
          <w:i/>
        </w:rPr>
        <w:t>p</w:t>
      </w:r>
      <w:r w:rsidRPr="00A83368">
        <w:rPr>
          <w:vertAlign w:val="subscript"/>
        </w:rPr>
        <w:t>1</w:t>
      </w:r>
      <w:r>
        <w:t xml:space="preserve"> – </w:t>
      </w:r>
      <w:r w:rsidRPr="002334DF">
        <w:rPr>
          <w:i/>
        </w:rPr>
        <w:t>p</w:t>
      </w:r>
      <w:r w:rsidRPr="00A83368">
        <w:rPr>
          <w:vertAlign w:val="subscript"/>
        </w:rPr>
        <w:t>2</w:t>
      </w:r>
      <w:r>
        <w:t xml:space="preserve"> = 0.05. This has the same interpretation as ARR. Since </w:t>
      </w:r>
      <w:r w:rsidRPr="002334DF">
        <w:rPr>
          <w:position w:val="-26"/>
        </w:rPr>
        <w:object w:dxaOrig="760" w:dyaOrig="600">
          <v:shape id="_x0000_i1029" type="#_x0000_t75" style="width:38pt;height:30pt" o:ole="">
            <v:imagedata r:id="rId13" o:title=""/>
          </v:shape>
          <o:OLEObject Type="Embed" ProgID="Equation.3" ShapeID="_x0000_i1029" DrawAspect="Content" ObjectID="_1235201785" r:id="rId14"/>
        </w:object>
      </w:r>
      <w:r>
        <w:t xml:space="preserve"> = 20, NNT = 20 in this case. That is, 20 subjects are needed to get one extra success. The CI for </w:t>
      </w:r>
      <w:r w:rsidRPr="002334DF">
        <w:rPr>
          <w:i/>
        </w:rPr>
        <w:t>p</w:t>
      </w:r>
      <w:r w:rsidRPr="00A83368">
        <w:rPr>
          <w:vertAlign w:val="subscript"/>
        </w:rPr>
        <w:t>1</w:t>
      </w:r>
      <w:r>
        <w:t xml:space="preserve"> – </w:t>
      </w:r>
      <w:r w:rsidRPr="002334DF">
        <w:rPr>
          <w:i/>
        </w:rPr>
        <w:t>p</w:t>
      </w:r>
      <w:r w:rsidRPr="00A83368">
        <w:rPr>
          <w:vertAlign w:val="subscript"/>
        </w:rPr>
        <w:t>2</w:t>
      </w:r>
      <w:r>
        <w:t xml:space="preserve"> in this case can include negative values also such as −0.02 to +0.12. This interval includes zero where NNT is infinity. This causes problems. Zero within this CI indicates that ARR is not statistically significant. If </w:t>
      </w:r>
      <w:proofErr w:type="spellStart"/>
      <w:r>
        <w:t>nonsignificance</w:t>
      </w:r>
      <w:proofErr w:type="spellEnd"/>
      <w:r>
        <w:t xml:space="preserve"> is disregarded, the reciprocals give −50 to +18 as CI for NNT. This interval does not even include the original point estimate NNT = 20. Thus this method of obtaining CI for NNT fails in this case. One can think of two disjoint intervals – in this example, −50 to −∞ and +12 to +∞ (check) but practically they do not make much sense. Thus NNT is one example where sensible CI is obtained only when ARR is statistically significant.</w:t>
      </w:r>
    </w:p>
    <w:p w:rsidR="00681603" w:rsidRDefault="00681603" w:rsidP="00681603">
      <w:pPr>
        <w:ind w:firstLine="720"/>
      </w:pPr>
      <w:r>
        <w:t xml:space="preserve">For independent samples, NNT can also be obtained in terms of relative risk (RR) instead of </w:t>
      </w:r>
      <w:proofErr w:type="gramStart"/>
      <w:r>
        <w:t>attributable</w:t>
      </w:r>
      <w:proofErr w:type="gramEnd"/>
      <w:r>
        <w:t xml:space="preserve"> risk:</w:t>
      </w:r>
    </w:p>
    <w:p w:rsidR="00681603" w:rsidRDefault="00681603" w:rsidP="00681603">
      <w:r>
        <w:tab/>
      </w:r>
      <w:r>
        <w:tab/>
        <w:t xml:space="preserve">NNT = </w:t>
      </w:r>
      <w:r w:rsidRPr="00623809">
        <w:rPr>
          <w:position w:val="-28"/>
        </w:rPr>
        <w:object w:dxaOrig="3760" w:dyaOrig="639">
          <v:shape id="_x0000_i1030" type="#_x0000_t75" style="width:188pt;height:32pt" o:ole="">
            <v:imagedata r:id="rId15" o:title=""/>
          </v:shape>
          <o:OLEObject Type="Embed" ProgID="Equation.3" ShapeID="_x0000_i1030" DrawAspect="Content" ObjectID="_1235201786" r:id="rId16"/>
        </w:object>
      </w:r>
    </w:p>
    <w:p w:rsidR="00681603" w:rsidRDefault="00681603" w:rsidP="00681603">
      <w:proofErr w:type="gramStart"/>
      <w:r>
        <w:t>where</w:t>
      </w:r>
      <w:proofErr w:type="gramEnd"/>
      <w:r>
        <w:t xml:space="preserve"> </w:t>
      </w:r>
      <w:r w:rsidRPr="007E482D">
        <w:rPr>
          <w:i/>
        </w:rPr>
        <w:t>p</w:t>
      </w:r>
      <w:r>
        <w:t xml:space="preserve"> is the proportion affected in the control group.</w:t>
      </w:r>
    </w:p>
    <w:p w:rsidR="00461144" w:rsidRDefault="00461144"/>
    <w:sectPr w:rsidR="00461144" w:rsidSect="0046114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603"/>
    <w:rsid w:val="00461144"/>
    <w:rsid w:val="006816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8253CC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603"/>
    <w:rPr>
      <w:rFonts w:ascii="Times New Roman" w:eastAsia="Times New Roman" w:hAnsi="Times New Roman" w:cs="Times New Roman"/>
    </w:rPr>
  </w:style>
  <w:style w:type="paragraph" w:styleId="Heading3">
    <w:name w:val="heading 3"/>
    <w:basedOn w:val="Normal"/>
    <w:next w:val="Normal"/>
    <w:link w:val="Heading3Char"/>
    <w:qFormat/>
    <w:rsid w:val="00681603"/>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681603"/>
    <w:rPr>
      <w:rFonts w:ascii="Arial" w:eastAsia="Times New Roman" w:hAnsi="Arial" w:cs="Arial"/>
      <w:b/>
      <w:bCs/>
      <w:sz w:val="26"/>
      <w:szCs w:val="2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603"/>
    <w:rPr>
      <w:rFonts w:ascii="Times New Roman" w:eastAsia="Times New Roman" w:hAnsi="Times New Roman" w:cs="Times New Roman"/>
    </w:rPr>
  </w:style>
  <w:style w:type="paragraph" w:styleId="Heading3">
    <w:name w:val="heading 3"/>
    <w:basedOn w:val="Normal"/>
    <w:next w:val="Normal"/>
    <w:link w:val="Heading3Char"/>
    <w:qFormat/>
    <w:rsid w:val="00681603"/>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681603"/>
    <w:rPr>
      <w:rFonts w:ascii="Arial" w:eastAsia="Times New Roman" w:hAnsi="Arial"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wmf"/><Relationship Id="rId12" Type="http://schemas.openxmlformats.org/officeDocument/2006/relationships/oleObject" Target="embeddings/Microsoft_Equation4.bin"/><Relationship Id="rId13" Type="http://schemas.openxmlformats.org/officeDocument/2006/relationships/image" Target="media/image5.wmf"/><Relationship Id="rId14" Type="http://schemas.openxmlformats.org/officeDocument/2006/relationships/oleObject" Target="embeddings/Microsoft_Equation5.bin"/><Relationship Id="rId15" Type="http://schemas.openxmlformats.org/officeDocument/2006/relationships/image" Target="media/image6.wmf"/><Relationship Id="rId16" Type="http://schemas.openxmlformats.org/officeDocument/2006/relationships/oleObject" Target="embeddings/Microsoft_Equation6.bin"/><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wmf"/><Relationship Id="rId6" Type="http://schemas.openxmlformats.org/officeDocument/2006/relationships/oleObject" Target="embeddings/Microsoft_Equation1.bin"/><Relationship Id="rId7" Type="http://schemas.openxmlformats.org/officeDocument/2006/relationships/image" Target="media/image2.wmf"/><Relationship Id="rId8" Type="http://schemas.openxmlformats.org/officeDocument/2006/relationships/oleObject" Target="embeddings/Microsoft_Equation2.bin"/><Relationship Id="rId9" Type="http://schemas.openxmlformats.org/officeDocument/2006/relationships/image" Target="media/image3.wmf"/><Relationship Id="rId10" Type="http://schemas.openxmlformats.org/officeDocument/2006/relationships/oleObject" Target="embeddings/Microsoft_Equation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380</Words>
  <Characters>2170</Characters>
  <Application>Microsoft Macintosh Word</Application>
  <DocSecurity>0</DocSecurity>
  <Lines>18</Lines>
  <Paragraphs>5</Paragraphs>
  <ScaleCrop>false</ScaleCrop>
  <Company/>
  <LinksUpToDate>false</LinksUpToDate>
  <CharactersWithSpaces>2545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Mummy-Papa Indrayan</dc:creator>
  <cp:keywords/>
  <dc:description/>
  <cp:lastModifiedBy>Mummy-Papa Indrayan</cp:lastModifiedBy>
  <cp:revision>1</cp:revision>
  <dcterms:created xsi:type="dcterms:W3CDTF">2011-03-11T15:48:00Z</dcterms:created>
  <dcterms:modified xsi:type="dcterms:W3CDTF">2011-03-11T15:50:00Z</dcterms:modified>
</cp:coreProperties>
</file>